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414E" w14:textId="77777777" w:rsidR="00B10298" w:rsidRPr="00B10298" w:rsidRDefault="00B10298" w:rsidP="00B102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  <w:r w:rsidRPr="00B10298">
        <w:rPr>
          <w:rFonts w:eastAsia="Times New Roman" w:cstheme="minorHAns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D59B85C" wp14:editId="6FE7E7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5152" cy="10191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5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29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Les notes du secrétariat national</w:t>
      </w:r>
    </w:p>
    <w:p w14:paraId="39650BF2" w14:textId="77777777" w:rsidR="00B10298" w:rsidRDefault="00B10298" w:rsidP="00B102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7CA76C9" w14:textId="77777777" w:rsidR="003D68E1" w:rsidRDefault="003D68E1" w:rsidP="005B7E2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Un droit souvent ignoré : l’I.C.R.</w:t>
      </w:r>
    </w:p>
    <w:p w14:paraId="135006BF" w14:textId="3D78840E" w:rsidR="004C1628" w:rsidRDefault="003D68E1" w:rsidP="005B7E2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Indemnités pour frais de changement de résidence</w:t>
      </w:r>
    </w:p>
    <w:p w14:paraId="3FD0C2C4" w14:textId="77777777" w:rsidR="003D68E1" w:rsidRDefault="003D68E1" w:rsidP="005B7E2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30A818AF" w14:textId="2A8C5927" w:rsidR="0093101D" w:rsidRPr="00B10298" w:rsidRDefault="004C1628" w:rsidP="004C162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</w:p>
    <w:p w14:paraId="60C7A68A" w14:textId="77777777" w:rsidR="003D68E1" w:rsidRPr="00DD7E8D" w:rsidRDefault="005A463F" w:rsidP="003D68E1">
      <w:pPr>
        <w:spacing w:after="0" w:line="240" w:lineRule="auto"/>
        <w:jc w:val="both"/>
      </w:pPr>
      <w:hyperlink r:id="rId6" w:anchor="decret90437ICR" w:history="1">
        <w:r w:rsidR="003D68E1" w:rsidRPr="002B0D7D">
          <w:rPr>
            <w:rStyle w:val="Lienhypertexte"/>
            <w:color w:val="auto"/>
          </w:rPr>
          <w:t>Décret n° 90-437 du 28 mai 1990</w:t>
        </w:r>
      </w:hyperlink>
      <w:r w:rsidR="003D68E1" w:rsidRPr="002B0D7D">
        <w:t xml:space="preserve"> -</w:t>
      </w:r>
      <w:r w:rsidR="003D68E1" w:rsidRPr="00DD7E8D">
        <w:t xml:space="preserve">  “</w:t>
      </w:r>
      <w:r w:rsidR="003D68E1" w:rsidRPr="00DD7E8D">
        <w:rPr>
          <w:i/>
        </w:rPr>
        <w:t>Les fonctionnaires et agents contractuels peuvent bénéficier de la prise en charge des ICR au titre de certains changements de résidence administrative entraînant un transfert de domicile personnel ou familial</w:t>
      </w:r>
      <w:r w:rsidR="003D68E1" w:rsidRPr="00DD7E8D">
        <w:t xml:space="preserve">.” </w:t>
      </w:r>
    </w:p>
    <w:p w14:paraId="664CD825" w14:textId="77777777" w:rsidR="003D68E1" w:rsidRPr="00DD7E8D" w:rsidRDefault="003D68E1" w:rsidP="003D68E1">
      <w:pPr>
        <w:spacing w:after="0" w:line="240" w:lineRule="auto"/>
        <w:ind w:right="-995"/>
      </w:pPr>
    </w:p>
    <w:p w14:paraId="2D0CDF61" w14:textId="77777777" w:rsidR="003D68E1" w:rsidRPr="00C54F6D" w:rsidRDefault="003D68E1" w:rsidP="003D68E1">
      <w:pPr>
        <w:spacing w:after="0" w:line="240" w:lineRule="auto"/>
        <w:jc w:val="center"/>
        <w:rPr>
          <w:b/>
        </w:rPr>
      </w:pPr>
      <w:r w:rsidRPr="00C54F6D">
        <w:rPr>
          <w:b/>
        </w:rPr>
        <w:t>Déménager pour se rapprocher de son lieu d’exercice</w:t>
      </w:r>
    </w:p>
    <w:p w14:paraId="61E26135" w14:textId="77777777" w:rsidR="003D68E1" w:rsidRDefault="003D68E1" w:rsidP="003D68E1">
      <w:pPr>
        <w:spacing w:after="0" w:line="240" w:lineRule="auto"/>
        <w:jc w:val="both"/>
      </w:pPr>
    </w:p>
    <w:p w14:paraId="44B80758" w14:textId="77777777" w:rsidR="003D68E1" w:rsidRDefault="003D68E1" w:rsidP="003D68E1">
      <w:pPr>
        <w:spacing w:after="0" w:line="240" w:lineRule="auto"/>
        <w:jc w:val="both"/>
      </w:pPr>
      <w:r w:rsidRPr="00C54F6D">
        <w:t>Pour bénéficier de l’ICR, il faut déménager au moment du changement d’affectation ET il faut que ce déménagement puisse permettre de se r</w:t>
      </w:r>
      <w:r>
        <w:t xml:space="preserve">approcher de son nouvel emploi ET il faut être nommé à titre définitif. </w:t>
      </w:r>
    </w:p>
    <w:p w14:paraId="62FE93AF" w14:textId="77777777" w:rsidR="003D68E1" w:rsidRDefault="003D68E1" w:rsidP="003D68E1">
      <w:pPr>
        <w:spacing w:after="0" w:line="240" w:lineRule="auto"/>
        <w:jc w:val="both"/>
      </w:pPr>
    </w:p>
    <w:p w14:paraId="5B747CCF" w14:textId="77777777" w:rsidR="003D68E1" w:rsidRPr="00C54F6D" w:rsidRDefault="003D68E1" w:rsidP="003D68E1">
      <w:pPr>
        <w:spacing w:after="0" w:line="240" w:lineRule="auto"/>
        <w:jc w:val="center"/>
        <w:rPr>
          <w:b/>
        </w:rPr>
      </w:pPr>
      <w:r w:rsidRPr="00C54F6D">
        <w:rPr>
          <w:b/>
        </w:rPr>
        <w:t>Les délais pour le percevoir</w:t>
      </w:r>
    </w:p>
    <w:p w14:paraId="1EE5020B" w14:textId="77777777" w:rsidR="003D68E1" w:rsidRDefault="003D68E1" w:rsidP="003D68E1">
      <w:pPr>
        <w:spacing w:after="0" w:line="240" w:lineRule="auto"/>
        <w:jc w:val="both"/>
      </w:pPr>
    </w:p>
    <w:p w14:paraId="528C289A" w14:textId="785D3092" w:rsidR="003D68E1" w:rsidRDefault="003D68E1" w:rsidP="003D68E1">
      <w:pPr>
        <w:spacing w:after="0" w:line="240" w:lineRule="auto"/>
        <w:jc w:val="both"/>
      </w:pPr>
      <w:r>
        <w:t>Le collègue</w:t>
      </w:r>
      <w:r w:rsidRPr="00C54F6D">
        <w:t xml:space="preserve"> dispose d’un an à compter </w:t>
      </w:r>
      <w:r>
        <w:t>du changement d’affectation administrative</w:t>
      </w:r>
      <w:r w:rsidRPr="00C54F6D">
        <w:t xml:space="preserve"> (sauf si </w:t>
      </w:r>
      <w:r>
        <w:t>le collègue est nommé</w:t>
      </w:r>
      <w:r w:rsidRPr="00C54F6D">
        <w:t xml:space="preserve"> sur un poste à titre provisoire – voir paragraphe suivant) pour en faire la demande</w:t>
      </w:r>
      <w:r w:rsidR="0088138D">
        <w:t>.</w:t>
      </w:r>
    </w:p>
    <w:p w14:paraId="65FE7628" w14:textId="77777777" w:rsidR="003D68E1" w:rsidRDefault="003D68E1" w:rsidP="003D68E1">
      <w:pPr>
        <w:spacing w:after="0" w:line="240" w:lineRule="auto"/>
        <w:jc w:val="both"/>
      </w:pPr>
    </w:p>
    <w:p w14:paraId="6E07D10B" w14:textId="77777777" w:rsidR="003D68E1" w:rsidRPr="00C54F6D" w:rsidRDefault="003D68E1" w:rsidP="003D68E1">
      <w:pPr>
        <w:spacing w:after="0" w:line="240" w:lineRule="auto"/>
        <w:jc w:val="center"/>
        <w:rPr>
          <w:b/>
        </w:rPr>
      </w:pPr>
      <w:r w:rsidRPr="00C54F6D">
        <w:rPr>
          <w:b/>
        </w:rPr>
        <w:t>Délais augmentés tant qu’on n’est pas à titre définitif</w:t>
      </w:r>
    </w:p>
    <w:p w14:paraId="3CEB7E25" w14:textId="77777777" w:rsidR="003D68E1" w:rsidRDefault="003D68E1" w:rsidP="003D68E1">
      <w:pPr>
        <w:spacing w:after="0" w:line="240" w:lineRule="auto"/>
        <w:jc w:val="both"/>
      </w:pPr>
    </w:p>
    <w:p w14:paraId="315321B1" w14:textId="77777777" w:rsidR="003D68E1" w:rsidRPr="00C54F6D" w:rsidRDefault="003D68E1" w:rsidP="003D68E1">
      <w:pPr>
        <w:spacing w:after="0" w:line="240" w:lineRule="auto"/>
        <w:jc w:val="both"/>
      </w:pPr>
      <w:r w:rsidRPr="00C54F6D">
        <w:t>La note de service n° 92-290 du 7 octobre 1992 permet de demander le versement de l’ICR à compter de l’affectation à titre définitif (le délai d’un an part alors de la date d’affectation à titre définitif).</w:t>
      </w:r>
    </w:p>
    <w:p w14:paraId="5D404B61" w14:textId="77777777" w:rsidR="003D68E1" w:rsidRPr="00C54F6D" w:rsidRDefault="003D68E1" w:rsidP="003D68E1">
      <w:pPr>
        <w:spacing w:after="0" w:line="240" w:lineRule="auto"/>
        <w:jc w:val="both"/>
      </w:pPr>
    </w:p>
    <w:p w14:paraId="0698BE67" w14:textId="77777777" w:rsidR="003D68E1" w:rsidRDefault="003D68E1" w:rsidP="003D68E1">
      <w:pPr>
        <w:spacing w:after="0" w:line="240" w:lineRule="auto"/>
        <w:jc w:val="center"/>
        <w:rPr>
          <w:b/>
        </w:rPr>
      </w:pPr>
      <w:r w:rsidRPr="00C54F6D">
        <w:rPr>
          <w:b/>
        </w:rPr>
        <w:t>Dans quels cas percevoir l’ICR</w:t>
      </w:r>
    </w:p>
    <w:p w14:paraId="46CCBF41" w14:textId="77777777" w:rsidR="003D68E1" w:rsidRPr="00C54F6D" w:rsidRDefault="003D68E1" w:rsidP="003D68E1">
      <w:pPr>
        <w:spacing w:after="0" w:line="240" w:lineRule="auto"/>
        <w:jc w:val="center"/>
        <w:rPr>
          <w:b/>
        </w:rPr>
      </w:pPr>
    </w:p>
    <w:p w14:paraId="2CCD3A0E" w14:textId="77777777" w:rsidR="003D68E1" w:rsidRPr="00C54F6D" w:rsidRDefault="003D68E1" w:rsidP="003D68E1">
      <w:pPr>
        <w:spacing w:after="0" w:line="240" w:lineRule="auto"/>
        <w:jc w:val="both"/>
      </w:pPr>
      <w:r w:rsidRPr="00C54F6D">
        <w:t>Il y a changement de résidence administrative (pour simplifier, appelons cela école) quand :</w:t>
      </w:r>
    </w:p>
    <w:p w14:paraId="5838ED3F" w14:textId="77777777" w:rsidR="003D68E1" w:rsidRPr="00C54F6D" w:rsidRDefault="003D68E1" w:rsidP="003D68E1">
      <w:pPr>
        <w:spacing w:after="0" w:line="240" w:lineRule="auto"/>
        <w:jc w:val="both"/>
      </w:pPr>
      <w:r>
        <w:t xml:space="preserve">- </w:t>
      </w:r>
      <w:r w:rsidRPr="00C54F6D">
        <w:t>Dans un même département, on change de ville d’</w:t>
      </w:r>
      <w:r>
        <w:t>affe</w:t>
      </w:r>
      <w:r w:rsidRPr="00C54F6D">
        <w:t>ctation</w:t>
      </w:r>
    </w:p>
    <w:p w14:paraId="1AF272A4" w14:textId="77777777" w:rsidR="003D68E1" w:rsidRPr="00C54F6D" w:rsidRDefault="003D68E1" w:rsidP="003D68E1">
      <w:pPr>
        <w:spacing w:after="0" w:line="240" w:lineRule="auto"/>
        <w:jc w:val="both"/>
      </w:pPr>
      <w:r>
        <w:t xml:space="preserve">- </w:t>
      </w:r>
      <w:r w:rsidRPr="00C54F6D">
        <w:t>On obtient une permutation ou un exeat-ineat.</w:t>
      </w:r>
    </w:p>
    <w:p w14:paraId="6224AE81" w14:textId="77777777" w:rsidR="003D68E1" w:rsidRDefault="003D68E1" w:rsidP="003D68E1">
      <w:pPr>
        <w:spacing w:after="0" w:line="240" w:lineRule="auto"/>
        <w:jc w:val="both"/>
      </w:pPr>
    </w:p>
    <w:p w14:paraId="34477C28" w14:textId="77777777" w:rsidR="003D68E1" w:rsidRPr="00C54F6D" w:rsidRDefault="003D68E1" w:rsidP="003D68E1">
      <w:pPr>
        <w:spacing w:after="0" w:line="240" w:lineRule="auto"/>
        <w:jc w:val="center"/>
        <w:rPr>
          <w:b/>
        </w:rPr>
      </w:pPr>
      <w:r w:rsidRPr="00C54F6D">
        <w:rPr>
          <w:b/>
        </w:rPr>
        <w:t>Le temps passé dans sa résidence administrative précédente : des contraintes</w:t>
      </w:r>
    </w:p>
    <w:p w14:paraId="3572D696" w14:textId="77777777" w:rsidR="003D68E1" w:rsidRPr="00C54F6D" w:rsidRDefault="003D68E1" w:rsidP="003D68E1">
      <w:pPr>
        <w:spacing w:after="0" w:line="240" w:lineRule="auto"/>
        <w:jc w:val="both"/>
      </w:pPr>
      <w:r w:rsidRPr="00C54F6D">
        <w:t>Sauf en cas de rapprochement</w:t>
      </w:r>
      <w:r>
        <w:t xml:space="preserve"> de conjoints (pas de délai imposé</w:t>
      </w:r>
      <w:r w:rsidRPr="00C54F6D">
        <w:t xml:space="preserve">), l’ICR ne peut être versée QUE </w:t>
      </w:r>
    </w:p>
    <w:p w14:paraId="119EF9FC" w14:textId="77777777" w:rsidR="003D68E1" w:rsidRPr="00C54F6D" w:rsidRDefault="003D68E1" w:rsidP="003D68E1">
      <w:pPr>
        <w:spacing w:after="0" w:line="240" w:lineRule="auto"/>
        <w:jc w:val="both"/>
      </w:pPr>
      <w:r>
        <w:t xml:space="preserve">- </w:t>
      </w:r>
      <w:r w:rsidRPr="00C54F6D">
        <w:t>si on est restés trois ans dans la même ville (mouvement intra</w:t>
      </w:r>
      <w:r>
        <w:t xml:space="preserve"> départemental</w:t>
      </w:r>
      <w:r w:rsidRPr="00C54F6D">
        <w:t>) ou le même département (mouvement inter</w:t>
      </w:r>
      <w:r>
        <w:t> : permutations ou exeat-ineat</w:t>
      </w:r>
      <w:r w:rsidRPr="00C54F6D">
        <w:t xml:space="preserve">) pour un premier changement de résidence </w:t>
      </w:r>
    </w:p>
    <w:p w14:paraId="1AE8E296" w14:textId="77777777" w:rsidR="003D68E1" w:rsidRPr="00C54F6D" w:rsidRDefault="003D68E1" w:rsidP="003D68E1">
      <w:pPr>
        <w:spacing w:after="0" w:line="240" w:lineRule="auto"/>
        <w:jc w:val="both"/>
      </w:pPr>
      <w:r>
        <w:t xml:space="preserve">- </w:t>
      </w:r>
      <w:r w:rsidRPr="00C54F6D">
        <w:t>si on est restés cinq ans la même ville (mouvement intra) ou le même département (mouvement inter) pour les autres changements.</w:t>
      </w:r>
    </w:p>
    <w:p w14:paraId="73494425" w14:textId="77777777" w:rsidR="003D68E1" w:rsidRPr="00C54F6D" w:rsidRDefault="003D68E1" w:rsidP="003D68E1">
      <w:pPr>
        <w:spacing w:after="0" w:line="240" w:lineRule="auto"/>
        <w:jc w:val="both"/>
      </w:pPr>
    </w:p>
    <w:p w14:paraId="5CC82D5C" w14:textId="77777777" w:rsidR="003D68E1" w:rsidRPr="00C54F6D" w:rsidRDefault="003D68E1" w:rsidP="003D68E1">
      <w:pPr>
        <w:spacing w:after="0" w:line="240" w:lineRule="auto"/>
        <w:jc w:val="center"/>
        <w:rPr>
          <w:b/>
        </w:rPr>
      </w:pPr>
      <w:r w:rsidRPr="00C54F6D">
        <w:rPr>
          <w:b/>
        </w:rPr>
        <w:t>Qui paye ?</w:t>
      </w:r>
    </w:p>
    <w:p w14:paraId="06810E3F" w14:textId="77777777" w:rsidR="003D68E1" w:rsidRPr="00C54F6D" w:rsidRDefault="003D68E1" w:rsidP="003D68E1">
      <w:pPr>
        <w:spacing w:after="0" w:line="240" w:lineRule="auto"/>
        <w:jc w:val="both"/>
      </w:pPr>
      <w:r w:rsidRPr="00C54F6D">
        <w:t>C’est la DSDEN d’accueil qui verse l’ICR.</w:t>
      </w:r>
    </w:p>
    <w:p w14:paraId="200C48FA" w14:textId="77777777" w:rsidR="003D68E1" w:rsidRPr="00C54F6D" w:rsidRDefault="003D68E1" w:rsidP="003D68E1">
      <w:pPr>
        <w:spacing w:after="0" w:line="240" w:lineRule="auto"/>
        <w:jc w:val="both"/>
        <w:rPr>
          <w:sz w:val="28"/>
          <w:szCs w:val="28"/>
        </w:rPr>
      </w:pPr>
    </w:p>
    <w:p w14:paraId="628AB192" w14:textId="77777777" w:rsidR="003D68E1" w:rsidRDefault="003D68E1" w:rsidP="003D68E1">
      <w:pPr>
        <w:spacing w:after="0" w:line="240" w:lineRule="auto"/>
        <w:jc w:val="center"/>
        <w:rPr>
          <w:b/>
        </w:rPr>
      </w:pPr>
      <w:r>
        <w:rPr>
          <w:b/>
        </w:rPr>
        <w:t>Quels montants ?</w:t>
      </w:r>
    </w:p>
    <w:p w14:paraId="7DCB1EF4" w14:textId="77777777" w:rsidR="003D68E1" w:rsidRPr="000F2A82" w:rsidRDefault="003D68E1" w:rsidP="003D68E1">
      <w:pPr>
        <w:spacing w:after="0" w:line="240" w:lineRule="auto"/>
        <w:jc w:val="both"/>
      </w:pPr>
      <w:r>
        <w:rPr>
          <w:b/>
        </w:rPr>
        <w:t>Un PE muté peut prétendre à</w:t>
      </w:r>
      <w:r w:rsidRPr="000F2A82">
        <w:t xml:space="preserve"> : </w:t>
      </w:r>
    </w:p>
    <w:p w14:paraId="746F6C93" w14:textId="77777777" w:rsidR="003D68E1" w:rsidRDefault="003D68E1" w:rsidP="003D68E1">
      <w:pPr>
        <w:spacing w:after="0" w:line="240" w:lineRule="auto"/>
        <w:jc w:val="both"/>
      </w:pPr>
    </w:p>
    <w:p w14:paraId="71A54001" w14:textId="77777777" w:rsidR="003D68E1" w:rsidRDefault="003D68E1" w:rsidP="003D68E1">
      <w:pPr>
        <w:spacing w:after="0" w:line="240" w:lineRule="auto"/>
        <w:jc w:val="both"/>
      </w:pPr>
      <w:r>
        <w:t xml:space="preserve">1. au remboursement des frais de transport des personnes entre la résidence administrative antérieure et la nouvelle résidence administrative. </w:t>
      </w:r>
      <w:r>
        <w:cr/>
        <w:t>2. à une indemnité forfaitaire de déménagement :</w:t>
      </w:r>
      <w:r>
        <w:cr/>
        <w:t xml:space="preserve">Indemnité = </w:t>
      </w:r>
      <w:r>
        <w:rPr>
          <w:b/>
        </w:rPr>
        <w:t xml:space="preserve">568,94 € + 0,18  x V x D </w:t>
      </w:r>
      <w:r>
        <w:t xml:space="preserve">(si le produit V x D est = ou &lt; 5 000) </w:t>
      </w:r>
      <w:r>
        <w:cr/>
      </w:r>
      <w:r>
        <w:lastRenderedPageBreak/>
        <w:t xml:space="preserve">Indemnité = </w:t>
      </w:r>
      <w:r>
        <w:rPr>
          <w:b/>
        </w:rPr>
        <w:t>1 137,88 € + 0,07 x V x D</w:t>
      </w:r>
      <w:r>
        <w:t xml:space="preserve"> (si le produit V x D est &gt; </w:t>
      </w:r>
      <w:proofErr w:type="gramStart"/>
      <w:r>
        <w:t>5000 )</w:t>
      </w:r>
      <w:proofErr w:type="gramEnd"/>
      <w:r>
        <w:t xml:space="preserve"> </w:t>
      </w:r>
      <w:r>
        <w:cr/>
      </w:r>
      <w:r>
        <w:rPr>
          <w:b/>
        </w:rPr>
        <w:t>D</w:t>
      </w:r>
      <w:r>
        <w:t xml:space="preserve"> = distance kilométrique la plus courte par la route entre l'ancienne et la nouvelle résidence administrative. </w:t>
      </w:r>
      <w:r>
        <w:cr/>
      </w:r>
      <w:r>
        <w:rPr>
          <w:b/>
        </w:rPr>
        <w:t>V</w:t>
      </w:r>
      <w:r>
        <w:t xml:space="preserve"> = volume forfaitaire de mobilier transporté </w:t>
      </w:r>
      <w: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19"/>
      </w:tblGrid>
      <w:tr w:rsidR="003D68E1" w14:paraId="77F3E5BA" w14:textId="77777777" w:rsidTr="00815D65">
        <w:tc>
          <w:tcPr>
            <w:tcW w:w="4039" w:type="dxa"/>
          </w:tcPr>
          <w:p w14:paraId="6B956943" w14:textId="77777777" w:rsidR="003D68E1" w:rsidRDefault="003D68E1" w:rsidP="003D68E1">
            <w:pPr>
              <w:spacing w:after="0" w:line="240" w:lineRule="auto"/>
              <w:jc w:val="both"/>
            </w:pPr>
            <w:r>
              <w:t>Agent</w:t>
            </w:r>
          </w:p>
        </w:tc>
        <w:tc>
          <w:tcPr>
            <w:tcW w:w="919" w:type="dxa"/>
          </w:tcPr>
          <w:p w14:paraId="5DF415C4" w14:textId="77777777" w:rsidR="003D68E1" w:rsidRDefault="003D68E1" w:rsidP="003D68E1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14 m3"/>
              </w:smartTagPr>
              <w:r>
                <w:t>14 m3</w:t>
              </w:r>
            </w:smartTag>
          </w:p>
        </w:tc>
      </w:tr>
      <w:tr w:rsidR="003D68E1" w14:paraId="6DE0B52F" w14:textId="77777777" w:rsidTr="00815D65">
        <w:tc>
          <w:tcPr>
            <w:tcW w:w="4039" w:type="dxa"/>
          </w:tcPr>
          <w:p w14:paraId="62C1157E" w14:textId="77777777" w:rsidR="003D68E1" w:rsidRDefault="003D68E1" w:rsidP="003D68E1">
            <w:pPr>
              <w:spacing w:after="0" w:line="240" w:lineRule="auto"/>
              <w:jc w:val="both"/>
            </w:pPr>
            <w:r>
              <w:t>Conjoint ou concubin</w:t>
            </w:r>
          </w:p>
        </w:tc>
        <w:tc>
          <w:tcPr>
            <w:tcW w:w="919" w:type="dxa"/>
          </w:tcPr>
          <w:p w14:paraId="2462659B" w14:textId="77777777" w:rsidR="003D68E1" w:rsidRDefault="003D68E1" w:rsidP="003D68E1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22 m3"/>
              </w:smartTagPr>
              <w:r>
                <w:t>22 m3</w:t>
              </w:r>
            </w:smartTag>
          </w:p>
        </w:tc>
      </w:tr>
      <w:tr w:rsidR="003D68E1" w14:paraId="1D6CEA07" w14:textId="77777777" w:rsidTr="00815D65">
        <w:tc>
          <w:tcPr>
            <w:tcW w:w="4039" w:type="dxa"/>
          </w:tcPr>
          <w:p w14:paraId="6093D005" w14:textId="77777777" w:rsidR="003D68E1" w:rsidRDefault="003D68E1" w:rsidP="003D68E1">
            <w:pPr>
              <w:spacing w:after="0" w:line="240" w:lineRule="auto"/>
              <w:jc w:val="both"/>
            </w:pPr>
            <w:r>
              <w:t>Enfant à charge au sens des prestations familiales ou ascendant à charge au sens fiscal</w:t>
            </w:r>
          </w:p>
        </w:tc>
        <w:tc>
          <w:tcPr>
            <w:tcW w:w="919" w:type="dxa"/>
          </w:tcPr>
          <w:p w14:paraId="21A04B13" w14:textId="77777777" w:rsidR="003D68E1" w:rsidRDefault="003D68E1" w:rsidP="003D68E1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3,5 m3"/>
              </w:smartTagPr>
              <w:r>
                <w:t>3,5 m3</w:t>
              </w:r>
            </w:smartTag>
          </w:p>
        </w:tc>
      </w:tr>
    </w:tbl>
    <w:p w14:paraId="37D20997" w14:textId="77777777" w:rsidR="003D68E1" w:rsidRDefault="003D68E1" w:rsidP="003D68E1">
      <w:pPr>
        <w:spacing w:after="0" w:line="240" w:lineRule="auto"/>
        <w:jc w:val="both"/>
      </w:pPr>
    </w:p>
    <w:p w14:paraId="765AC503" w14:textId="77777777" w:rsidR="003D68E1" w:rsidRDefault="003D68E1" w:rsidP="003D68E1">
      <w:pPr>
        <w:spacing w:after="0" w:line="240" w:lineRule="auto"/>
        <w:jc w:val="both"/>
      </w:pPr>
      <w:r>
        <w:t xml:space="preserve">- Pour les agents célibataires, veuf ou séparés avec au moins un enfant ou un ascendant à charge : </w:t>
      </w:r>
      <w:smartTag w:uri="urn:schemas-microsoft-com:office:smarttags" w:element="metricconverter">
        <w:smartTagPr>
          <w:attr w:name="ProductID" w:val="32,5 m3"/>
        </w:smartTagPr>
        <w:r>
          <w:t>32,5 m3</w:t>
        </w:r>
      </w:smartTag>
    </w:p>
    <w:p w14:paraId="13450651" w14:textId="77777777" w:rsidR="003D68E1" w:rsidRDefault="003D68E1" w:rsidP="003D68E1">
      <w:pPr>
        <w:spacing w:after="0" w:line="240" w:lineRule="auto"/>
        <w:jc w:val="both"/>
      </w:pPr>
      <w:r>
        <w:t xml:space="preserve">- Pour le célibataire ou veuf sans enfant ou personne à charge : </w:t>
      </w:r>
      <w:smartTag w:uri="urn:schemas-microsoft-com:office:smarttags" w:element="metricconverter">
        <w:smartTagPr>
          <w:attr w:name="ProductID" w:val="25 m3"/>
        </w:smartTagPr>
        <w:r>
          <w:t>25 m3</w:t>
        </w:r>
      </w:smartTag>
      <w:r>
        <w:cr/>
      </w:r>
    </w:p>
    <w:p w14:paraId="5A101F93" w14:textId="77777777" w:rsidR="003D68E1" w:rsidRDefault="003D68E1" w:rsidP="003D68E1">
      <w:pPr>
        <w:spacing w:after="0" w:line="240" w:lineRule="auto"/>
        <w:jc w:val="both"/>
      </w:pPr>
      <w:r>
        <w:t>Une indemnité complémentaire est attribuée pour les changements de résidence entre  le continent :</w:t>
      </w:r>
    </w:p>
    <w:p w14:paraId="3798358D" w14:textId="77777777" w:rsidR="003D68E1" w:rsidRDefault="003D68E1" w:rsidP="003D68E1">
      <w:pPr>
        <w:spacing w:after="0" w:line="240" w:lineRule="auto"/>
        <w:ind w:firstLine="708"/>
        <w:jc w:val="both"/>
      </w:pPr>
      <w:r>
        <w:t xml:space="preserve">- et </w:t>
      </w:r>
      <w:smartTag w:uri="urn:schemas-microsoft-com:office:smarttags" w:element="PersonName">
        <w:smartTagPr>
          <w:attr w:name="ProductID" w:val="la Corse"/>
        </w:smartTagPr>
        <w:r>
          <w:t>la Corse</w:t>
        </w:r>
      </w:smartTag>
      <w:r>
        <w:t xml:space="preserve"> (et inversement) : 691,21 € pour l’agent, 1036,05 € pour le conjoint, concubin ou PACS, 197,73 € par enfant à charge au sens des prestations familiales ou ascendant à charge au sens fiscal) </w:t>
      </w:r>
    </w:p>
    <w:p w14:paraId="654B3252" w14:textId="77777777" w:rsidR="003D68E1" w:rsidRDefault="003D68E1" w:rsidP="003D68E1">
      <w:pPr>
        <w:spacing w:after="0" w:line="240" w:lineRule="auto"/>
        <w:ind w:firstLine="708"/>
        <w:jc w:val="both"/>
      </w:pPr>
      <w:r>
        <w:t xml:space="preserve">- ou les îles côtières non reliées par un pont ou une chaussée carrossable : 50% de l’indemnité continent / Corse </w:t>
      </w:r>
    </w:p>
    <w:p w14:paraId="10D6544D" w14:textId="77777777" w:rsidR="003D68E1" w:rsidRDefault="003D68E1" w:rsidP="003D68E1">
      <w:pPr>
        <w:spacing w:after="0" w:line="240" w:lineRule="auto"/>
        <w:jc w:val="both"/>
      </w:pPr>
    </w:p>
    <w:p w14:paraId="096CBFA7" w14:textId="77777777" w:rsidR="003D68E1" w:rsidRDefault="003D68E1" w:rsidP="003D68E1">
      <w:pPr>
        <w:spacing w:after="0" w:line="240" w:lineRule="auto"/>
        <w:jc w:val="both"/>
      </w:pPr>
      <w:r>
        <w:t>Le conjoint ou concubin n'est pris en compte que si ses frais de changement de résidence ne sont pas remboursés par son propre employeur.</w:t>
      </w:r>
    </w:p>
    <w:p w14:paraId="67793CA5" w14:textId="77777777" w:rsidR="00EF0E36" w:rsidRDefault="00EF0E36" w:rsidP="003D68E1">
      <w:pPr>
        <w:spacing w:after="0" w:line="240" w:lineRule="auto"/>
        <w:jc w:val="both"/>
      </w:pPr>
    </w:p>
    <w:p w14:paraId="2C012D8E" w14:textId="77777777" w:rsidR="003D68E1" w:rsidRDefault="003D68E1" w:rsidP="003D68E1">
      <w:pPr>
        <w:spacing w:after="0" w:line="240" w:lineRule="auto"/>
        <w:jc w:val="both"/>
        <w:rPr>
          <w:b/>
          <w:color w:val="FF0000"/>
        </w:rPr>
      </w:pPr>
      <w:r w:rsidRPr="00C54F6D">
        <w:rPr>
          <w:b/>
          <w:color w:val="FF0000"/>
        </w:rPr>
        <w:t>ATTENTION, le montant de l’ICR sera réduit de 20 % (car il ne s’agit pas – sauf cas très exceptionnels – d’une mutation d’office).</w:t>
      </w:r>
    </w:p>
    <w:p w14:paraId="443D69CA" w14:textId="77777777" w:rsidR="003D68E1" w:rsidRDefault="003D68E1" w:rsidP="003D68E1">
      <w:pPr>
        <w:spacing w:after="0" w:line="240" w:lineRule="auto"/>
        <w:jc w:val="both"/>
        <w:rPr>
          <w:b/>
          <w:color w:val="FF0000"/>
        </w:rPr>
      </w:pPr>
    </w:p>
    <w:p w14:paraId="031055FC" w14:textId="3F5D8C48" w:rsidR="003D68E1" w:rsidRDefault="003D68E1" w:rsidP="003D68E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Pour l’ICR vers les DOM, contactez votre syndicat départemental.</w:t>
      </w:r>
    </w:p>
    <w:p w14:paraId="02DB69D2" w14:textId="36775197" w:rsidR="001947F3" w:rsidRDefault="001947F3" w:rsidP="003D68E1">
      <w:pPr>
        <w:spacing w:after="0" w:line="240" w:lineRule="auto"/>
        <w:jc w:val="both"/>
        <w:rPr>
          <w:b/>
          <w:color w:val="FF0000"/>
        </w:rPr>
      </w:pPr>
    </w:p>
    <w:p w14:paraId="78EAC929" w14:textId="77777777" w:rsidR="0093101D" w:rsidRDefault="0093101D" w:rsidP="003D68E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sectPr w:rsidR="0093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C5"/>
    <w:multiLevelType w:val="hybridMultilevel"/>
    <w:tmpl w:val="17E651D8"/>
    <w:lvl w:ilvl="0" w:tplc="8CA40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D"/>
    <w:rsid w:val="001947F3"/>
    <w:rsid w:val="003D68E1"/>
    <w:rsid w:val="004C1628"/>
    <w:rsid w:val="005A463F"/>
    <w:rsid w:val="005B7E2C"/>
    <w:rsid w:val="007125B0"/>
    <w:rsid w:val="0088138D"/>
    <w:rsid w:val="0089787E"/>
    <w:rsid w:val="0093101D"/>
    <w:rsid w:val="009C02C6"/>
    <w:rsid w:val="009D0FEB"/>
    <w:rsid w:val="00A94EC4"/>
    <w:rsid w:val="00B10298"/>
    <w:rsid w:val="00BA0E2D"/>
    <w:rsid w:val="00BE4FED"/>
    <w:rsid w:val="00C14320"/>
    <w:rsid w:val="00CA64D8"/>
    <w:rsid w:val="00E249E3"/>
    <w:rsid w:val="00E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09EEA"/>
  <w15:docId w15:val="{C3595E8C-AF88-4A3D-969A-6D423DFF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C1628"/>
    <w:rPr>
      <w:color w:val="0000FF"/>
      <w:u w:val="single"/>
    </w:rPr>
  </w:style>
  <w:style w:type="paragraph" w:customStyle="1" w:styleId="yiv9801740225gmail-panel-source">
    <w:name w:val="yiv9801740225gmail-panel-source"/>
    <w:basedOn w:val="Normal"/>
    <w:rsid w:val="004C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01740225msonormal">
    <w:name w:val="yiv9801740225msonormal"/>
    <w:basedOn w:val="Normal"/>
    <w:rsid w:val="004C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SERMET</dc:creator>
  <cp:lastModifiedBy>Fred VOLLE</cp:lastModifiedBy>
  <cp:revision>2</cp:revision>
  <dcterms:created xsi:type="dcterms:W3CDTF">2021-09-24T13:51:00Z</dcterms:created>
  <dcterms:modified xsi:type="dcterms:W3CDTF">2021-09-24T13:51:00Z</dcterms:modified>
</cp:coreProperties>
</file>